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A234A2" w14:textId="3EABBAC1" w:rsidR="002E47D5" w:rsidRPr="002E47D5" w:rsidRDefault="00F67EED">
      <w:pPr>
        <w:pStyle w:val="Ttulo1"/>
        <w:rPr>
          <w:lang w:val="es-CL"/>
        </w:rPr>
      </w:pPr>
      <w:r w:rsidRPr="002E47D5">
        <w:rPr>
          <w:lang w:val="es-CL"/>
        </w:rPr>
        <w:t xml:space="preserve">Informe Artículo 57 – </w:t>
      </w:r>
      <w:r w:rsidR="002E47D5" w:rsidRPr="002E47D5">
        <w:rPr>
          <w:lang w:val="es-CL"/>
        </w:rPr>
        <w:t>Dirección</w:t>
      </w:r>
      <w:r w:rsidR="002E47D5">
        <w:rPr>
          <w:lang w:val="es-CL"/>
        </w:rPr>
        <w:t xml:space="preserve"> de Obras Port</w:t>
      </w:r>
      <w:bookmarkStart w:id="0" w:name="_GoBack"/>
      <w:bookmarkEnd w:id="0"/>
      <w:r w:rsidR="002E47D5">
        <w:rPr>
          <w:lang w:val="es-CL"/>
        </w:rPr>
        <w:t>uarias</w:t>
      </w:r>
    </w:p>
    <w:p w14:paraId="2DBC6ACE" w14:textId="6E4498AE" w:rsidR="002347C2" w:rsidRPr="002E47D5" w:rsidRDefault="00F67EED">
      <w:pPr>
        <w:pStyle w:val="Ttulo1"/>
        <w:rPr>
          <w:lang w:val="es-CL"/>
        </w:rPr>
      </w:pPr>
      <w:r w:rsidRPr="002E47D5">
        <w:rPr>
          <w:lang w:val="es-CL"/>
        </w:rPr>
        <w:t>Convenios Suscritos Primer Trimestre 2026</w:t>
      </w:r>
    </w:p>
    <w:p w14:paraId="49B73FC2" w14:textId="77777777" w:rsidR="002E47D5" w:rsidRDefault="002E47D5" w:rsidP="002E47D5">
      <w:pPr>
        <w:jc w:val="both"/>
        <w:rPr>
          <w:lang w:val="es-CL"/>
        </w:rPr>
      </w:pPr>
    </w:p>
    <w:p w14:paraId="305A1C55" w14:textId="1615D5EA" w:rsidR="002347C2" w:rsidRDefault="00F67EED" w:rsidP="002E47D5">
      <w:pPr>
        <w:jc w:val="both"/>
        <w:rPr>
          <w:lang w:val="es-CL"/>
        </w:rPr>
      </w:pPr>
      <w:r w:rsidRPr="002E47D5">
        <w:rPr>
          <w:lang w:val="es-CL"/>
        </w:rPr>
        <w:t xml:space="preserve">En cumplimiento de lo dispuesto en el artículo 57 de la Ley </w:t>
      </w:r>
      <w:proofErr w:type="spellStart"/>
      <w:r w:rsidRPr="002E47D5">
        <w:rPr>
          <w:lang w:val="es-CL"/>
        </w:rPr>
        <w:t>N°</w:t>
      </w:r>
      <w:proofErr w:type="spellEnd"/>
      <w:r w:rsidRPr="002E47D5">
        <w:rPr>
          <w:lang w:val="es-CL"/>
        </w:rPr>
        <w:t xml:space="preserve"> 19.175, Orgánica Constitucional sobre Gobierno y Administración Regional, se informa respecto de los convenios suscritos y/o vigentes durante el primer trimestre del año 2026 por la Dirección de Obras Portuarias del Ministerio de Obras Públicas.</w:t>
      </w:r>
    </w:p>
    <w:p w14:paraId="5EBC1CB7" w14:textId="77777777" w:rsidR="002E47D5" w:rsidRPr="002E47D5" w:rsidRDefault="002E47D5" w:rsidP="002E47D5">
      <w:pPr>
        <w:jc w:val="both"/>
        <w:rPr>
          <w:lang w:val="es-CL"/>
        </w:rPr>
      </w:pPr>
    </w:p>
    <w:p w14:paraId="0BFDA4E6" w14:textId="77777777" w:rsidR="002347C2" w:rsidRPr="002E47D5" w:rsidRDefault="00F67EED">
      <w:pPr>
        <w:pStyle w:val="Ttulo2"/>
        <w:rPr>
          <w:lang w:val="es-CL"/>
        </w:rPr>
      </w:pPr>
      <w:r w:rsidRPr="002E47D5">
        <w:rPr>
          <w:lang w:val="es-CL"/>
        </w:rPr>
        <w:t>i. Antecedentes generales</w:t>
      </w:r>
    </w:p>
    <w:p w14:paraId="1CABD1FD" w14:textId="77777777" w:rsidR="002347C2" w:rsidRPr="002E47D5" w:rsidRDefault="00F67EED" w:rsidP="002E47D5">
      <w:pPr>
        <w:jc w:val="both"/>
        <w:rPr>
          <w:lang w:val="es-CL"/>
        </w:rPr>
      </w:pPr>
      <w:r w:rsidRPr="002E47D5">
        <w:rPr>
          <w:lang w:val="es-CL"/>
        </w:rPr>
        <w:t>Durante el período enero–marzo de 2026, la Dirección de Obras Portuarias ha suscrito instrumentos de diversa naturaleza, orientados a la colaboración interinstitucional, la administración provisoria de infraestructura portuaria ya ejecutada, la programación de inversiones y la ejecución de proyectos financiados con recursos del Fondo Nacional de Desarrollo Regional (FNDR).</w:t>
      </w:r>
    </w:p>
    <w:p w14:paraId="06A3A6DD" w14:textId="77777777" w:rsidR="002347C2" w:rsidRPr="002E47D5" w:rsidRDefault="00F67EED">
      <w:pPr>
        <w:pStyle w:val="Ttulo2"/>
        <w:rPr>
          <w:lang w:val="es-CL"/>
        </w:rPr>
      </w:pPr>
      <w:proofErr w:type="spellStart"/>
      <w:r w:rsidRPr="002E47D5">
        <w:rPr>
          <w:lang w:val="es-CL"/>
        </w:rPr>
        <w:t>ii</w:t>
      </w:r>
      <w:proofErr w:type="spellEnd"/>
      <w:r w:rsidRPr="002E47D5">
        <w:rPr>
          <w:lang w:val="es-CL"/>
        </w:rPr>
        <w:t>. Tipología de los convenios</w:t>
      </w:r>
    </w:p>
    <w:p w14:paraId="4F45187E" w14:textId="77777777" w:rsidR="002347C2" w:rsidRPr="002E47D5" w:rsidRDefault="00F67EED">
      <w:pPr>
        <w:rPr>
          <w:lang w:val="es-CL"/>
        </w:rPr>
      </w:pPr>
      <w:r w:rsidRPr="002E47D5">
        <w:rPr>
          <w:lang w:val="es-CL"/>
        </w:rPr>
        <w:t>- Convenios de colaboración interinstitucional.</w:t>
      </w:r>
    </w:p>
    <w:p w14:paraId="28C97A0F" w14:textId="77777777" w:rsidR="002347C2" w:rsidRPr="002E47D5" w:rsidRDefault="00F67EED">
      <w:pPr>
        <w:rPr>
          <w:lang w:val="es-CL"/>
        </w:rPr>
      </w:pPr>
      <w:r w:rsidRPr="002E47D5">
        <w:rPr>
          <w:lang w:val="es-CL"/>
        </w:rPr>
        <w:t>- Convenios de autorización para uso provisorio y administración de infraestructura portuaria.</w:t>
      </w:r>
    </w:p>
    <w:p w14:paraId="545C5496" w14:textId="77777777" w:rsidR="002347C2" w:rsidRPr="002E47D5" w:rsidRDefault="00F67EED">
      <w:pPr>
        <w:rPr>
          <w:lang w:val="es-CL"/>
        </w:rPr>
      </w:pPr>
      <w:r w:rsidRPr="002E47D5">
        <w:rPr>
          <w:lang w:val="es-CL"/>
        </w:rPr>
        <w:t>- Convenios de programación.</w:t>
      </w:r>
    </w:p>
    <w:p w14:paraId="7525CEBD" w14:textId="77777777" w:rsidR="002347C2" w:rsidRPr="002E47D5" w:rsidRDefault="00F67EED">
      <w:pPr>
        <w:rPr>
          <w:lang w:val="es-CL"/>
        </w:rPr>
      </w:pPr>
      <w:r w:rsidRPr="002E47D5">
        <w:rPr>
          <w:lang w:val="es-CL"/>
        </w:rPr>
        <w:t>- Convenios mandato FNDR.</w:t>
      </w:r>
    </w:p>
    <w:p w14:paraId="4679171B" w14:textId="77777777" w:rsidR="002347C2" w:rsidRPr="002E47D5" w:rsidRDefault="00F67EED">
      <w:pPr>
        <w:pStyle w:val="Ttulo2"/>
        <w:rPr>
          <w:lang w:val="es-CL"/>
        </w:rPr>
      </w:pPr>
      <w:proofErr w:type="spellStart"/>
      <w:r w:rsidRPr="002E47D5">
        <w:rPr>
          <w:lang w:val="es-CL"/>
        </w:rPr>
        <w:t>iii</w:t>
      </w:r>
      <w:proofErr w:type="spellEnd"/>
      <w:r w:rsidRPr="002E47D5">
        <w:rPr>
          <w:lang w:val="es-CL"/>
        </w:rPr>
        <w:t>. Montos comprometidos y ejecutados</w:t>
      </w:r>
    </w:p>
    <w:p w14:paraId="2E7836C2" w14:textId="77777777" w:rsidR="002347C2" w:rsidRPr="002E47D5" w:rsidRDefault="00F67EED" w:rsidP="002E47D5">
      <w:pPr>
        <w:jc w:val="both"/>
        <w:rPr>
          <w:lang w:val="es-CL"/>
        </w:rPr>
      </w:pPr>
      <w:r w:rsidRPr="002E47D5">
        <w:rPr>
          <w:lang w:val="es-CL"/>
        </w:rPr>
        <w:t>Los convenios de colaboración interinstitucional y los convenios de autorización para uso provisorio y administración de infraestructura pública, incluidos sus respectivos anexos modificatorios, no contemplan transferencias directas de recursos financieros ni generan ejecución presupuestaria con cargo al presupuesto del Servicio durante el período informado.</w:t>
      </w:r>
    </w:p>
    <w:p w14:paraId="54D9830C" w14:textId="77777777" w:rsidR="002347C2" w:rsidRPr="002E47D5" w:rsidRDefault="00F67EED" w:rsidP="002E47D5">
      <w:pPr>
        <w:jc w:val="both"/>
        <w:rPr>
          <w:lang w:val="es-CL"/>
        </w:rPr>
      </w:pPr>
      <w:r w:rsidRPr="002E47D5">
        <w:rPr>
          <w:lang w:val="es-CL"/>
        </w:rPr>
        <w:t>Los convenios de programación establecen compromisos financieros de carácter plurianual y programático, cuya ejecución se materializa mediante la suscripción de convenios mandato específicos.</w:t>
      </w:r>
    </w:p>
    <w:p w14:paraId="378543A5" w14:textId="77777777" w:rsidR="002347C2" w:rsidRPr="002E47D5" w:rsidRDefault="00F67EED" w:rsidP="002E47D5">
      <w:pPr>
        <w:jc w:val="both"/>
        <w:rPr>
          <w:lang w:val="es-CL"/>
        </w:rPr>
      </w:pPr>
      <w:r w:rsidRPr="002E47D5">
        <w:rPr>
          <w:lang w:val="es-CL"/>
        </w:rPr>
        <w:t>Durante el período se encuentra vigente el Convenio Mandato FNDR suscrito con el Gobierno Regional de Antofagasta para la ejecución del proyecto “Mejoramiento Borde Costero Sector Balneario Municipal, Taltal” (C.BIP 30210972-0), con un monto total comprometido FNDR de M$4.310.866.</w:t>
      </w:r>
    </w:p>
    <w:p w14:paraId="0E80D415" w14:textId="77777777" w:rsidR="002347C2" w:rsidRPr="002E47D5" w:rsidRDefault="00F67EED">
      <w:pPr>
        <w:pStyle w:val="Ttulo2"/>
        <w:rPr>
          <w:lang w:val="es-CL"/>
        </w:rPr>
      </w:pPr>
      <w:proofErr w:type="spellStart"/>
      <w:r w:rsidRPr="002E47D5">
        <w:rPr>
          <w:lang w:val="es-CL"/>
        </w:rPr>
        <w:lastRenderedPageBreak/>
        <w:t>iv</w:t>
      </w:r>
      <w:proofErr w:type="spellEnd"/>
      <w:r w:rsidRPr="002E47D5">
        <w:rPr>
          <w:lang w:val="es-CL"/>
        </w:rPr>
        <w:t>. Estado de avance material y financiero</w:t>
      </w:r>
    </w:p>
    <w:p w14:paraId="7F54D383" w14:textId="77777777" w:rsidR="002347C2" w:rsidRPr="002E47D5" w:rsidRDefault="00F67EED">
      <w:pPr>
        <w:rPr>
          <w:lang w:val="es-CL"/>
        </w:rPr>
      </w:pPr>
      <w:r w:rsidRPr="002E47D5">
        <w:rPr>
          <w:lang w:val="es-CL"/>
        </w:rPr>
        <w:t>Los convenios de colaboración y de uso provisorio se encuentran vigentes y regulan actividades de diseño, coordinación técnica y administración de infraestructura existente, no siendo aplicable informar avance financiero.</w:t>
      </w:r>
    </w:p>
    <w:p w14:paraId="74433708" w14:textId="77777777" w:rsidR="002347C2" w:rsidRPr="002E47D5" w:rsidRDefault="00F67EED">
      <w:pPr>
        <w:rPr>
          <w:lang w:val="es-CL"/>
        </w:rPr>
      </w:pPr>
      <w:r w:rsidRPr="002E47D5">
        <w:rPr>
          <w:lang w:val="es-CL"/>
        </w:rPr>
        <w:t>El Convenio Mandato FNDR del Gobierno Regional de Antofagasta se encuentra en etapa inicial de ejecución administrativa, conforme a su programación financiera y técnica.</w:t>
      </w:r>
    </w:p>
    <w:p w14:paraId="51A32438" w14:textId="77777777" w:rsidR="002347C2" w:rsidRPr="002E47D5" w:rsidRDefault="00F67EED">
      <w:pPr>
        <w:pStyle w:val="Ttulo2"/>
        <w:rPr>
          <w:lang w:val="es-CL"/>
        </w:rPr>
      </w:pPr>
      <w:r w:rsidRPr="002E47D5">
        <w:rPr>
          <w:lang w:val="es-CL"/>
        </w:rPr>
        <w:t>Anexo N°1 – Catastro de convenios suscritos y/o vigentes (Primer Trimestre 2026)</w:t>
      </w:r>
    </w:p>
    <w:tbl>
      <w:tblPr>
        <w:tblStyle w:val="Tablaconcuadrcula"/>
        <w:tblW w:w="0" w:type="auto"/>
        <w:tblLook w:val="04A0" w:firstRow="1" w:lastRow="0" w:firstColumn="1" w:lastColumn="0" w:noHBand="0" w:noVBand="1"/>
      </w:tblPr>
      <w:tblGrid>
        <w:gridCol w:w="2156"/>
        <w:gridCol w:w="2158"/>
        <w:gridCol w:w="2158"/>
        <w:gridCol w:w="2158"/>
      </w:tblGrid>
      <w:tr w:rsidR="002347C2" w:rsidRPr="002E47D5" w14:paraId="48C8405F" w14:textId="77777777">
        <w:tc>
          <w:tcPr>
            <w:tcW w:w="2160" w:type="dxa"/>
          </w:tcPr>
          <w:p w14:paraId="7AB14AFD" w14:textId="77777777" w:rsidR="002347C2" w:rsidRPr="002E47D5" w:rsidRDefault="00F67EED">
            <w:pPr>
              <w:rPr>
                <w:lang w:val="es-CL"/>
              </w:rPr>
            </w:pPr>
            <w:proofErr w:type="spellStart"/>
            <w:r w:rsidRPr="002E47D5">
              <w:rPr>
                <w:lang w:val="es-CL"/>
              </w:rPr>
              <w:t>N°</w:t>
            </w:r>
            <w:proofErr w:type="spellEnd"/>
          </w:p>
        </w:tc>
        <w:tc>
          <w:tcPr>
            <w:tcW w:w="2160" w:type="dxa"/>
          </w:tcPr>
          <w:p w14:paraId="7E96B328" w14:textId="77777777" w:rsidR="002347C2" w:rsidRPr="002E47D5" w:rsidRDefault="00F67EED">
            <w:pPr>
              <w:rPr>
                <w:lang w:val="es-CL"/>
              </w:rPr>
            </w:pPr>
            <w:r w:rsidRPr="002E47D5">
              <w:rPr>
                <w:lang w:val="es-CL"/>
              </w:rPr>
              <w:t>Tipo de Convenio</w:t>
            </w:r>
          </w:p>
        </w:tc>
        <w:tc>
          <w:tcPr>
            <w:tcW w:w="2160" w:type="dxa"/>
          </w:tcPr>
          <w:p w14:paraId="7664116B" w14:textId="77777777" w:rsidR="002347C2" w:rsidRPr="002E47D5" w:rsidRDefault="00F67EED">
            <w:pPr>
              <w:rPr>
                <w:lang w:val="es-CL"/>
              </w:rPr>
            </w:pPr>
            <w:r w:rsidRPr="002E47D5">
              <w:rPr>
                <w:lang w:val="es-CL"/>
              </w:rPr>
              <w:t>Contraparte / Proyecto</w:t>
            </w:r>
          </w:p>
        </w:tc>
        <w:tc>
          <w:tcPr>
            <w:tcW w:w="2160" w:type="dxa"/>
          </w:tcPr>
          <w:p w14:paraId="77FD3ADE" w14:textId="77777777" w:rsidR="002347C2" w:rsidRPr="002E47D5" w:rsidRDefault="00F67EED">
            <w:pPr>
              <w:rPr>
                <w:lang w:val="es-CL"/>
              </w:rPr>
            </w:pPr>
            <w:r w:rsidRPr="002E47D5">
              <w:rPr>
                <w:lang w:val="es-CL"/>
              </w:rPr>
              <w:t>Acto administrativo y organismo emisor</w:t>
            </w:r>
          </w:p>
        </w:tc>
      </w:tr>
      <w:tr w:rsidR="002347C2" w:rsidRPr="002E47D5" w14:paraId="6F92E442" w14:textId="77777777">
        <w:tc>
          <w:tcPr>
            <w:tcW w:w="2160" w:type="dxa"/>
          </w:tcPr>
          <w:p w14:paraId="455A61BD" w14:textId="77777777" w:rsidR="002347C2" w:rsidRPr="002E47D5" w:rsidRDefault="00F67EED">
            <w:pPr>
              <w:rPr>
                <w:lang w:val="es-CL"/>
              </w:rPr>
            </w:pPr>
            <w:r w:rsidRPr="002E47D5">
              <w:rPr>
                <w:lang w:val="es-CL"/>
              </w:rPr>
              <w:t>1</w:t>
            </w:r>
          </w:p>
        </w:tc>
        <w:tc>
          <w:tcPr>
            <w:tcW w:w="2160" w:type="dxa"/>
          </w:tcPr>
          <w:p w14:paraId="376478B6" w14:textId="77777777" w:rsidR="002347C2" w:rsidRPr="002E47D5" w:rsidRDefault="00F67EED">
            <w:pPr>
              <w:rPr>
                <w:lang w:val="es-CL"/>
              </w:rPr>
            </w:pPr>
            <w:r w:rsidRPr="002E47D5">
              <w:rPr>
                <w:lang w:val="es-CL"/>
              </w:rPr>
              <w:t>Convenio de Colaboración</w:t>
            </w:r>
          </w:p>
        </w:tc>
        <w:tc>
          <w:tcPr>
            <w:tcW w:w="2160" w:type="dxa"/>
          </w:tcPr>
          <w:p w14:paraId="2477AAEC" w14:textId="77777777" w:rsidR="002347C2" w:rsidRPr="002E47D5" w:rsidRDefault="00F67EED">
            <w:pPr>
              <w:rPr>
                <w:lang w:val="es-CL"/>
              </w:rPr>
            </w:pPr>
            <w:r w:rsidRPr="002E47D5">
              <w:rPr>
                <w:lang w:val="es-CL"/>
              </w:rPr>
              <w:t>Ilustre Municipalidad de Ancud</w:t>
            </w:r>
          </w:p>
        </w:tc>
        <w:tc>
          <w:tcPr>
            <w:tcW w:w="2160" w:type="dxa"/>
          </w:tcPr>
          <w:p w14:paraId="1DE4DA2E" w14:textId="77777777" w:rsidR="002347C2" w:rsidRPr="002E47D5" w:rsidRDefault="00F67EED">
            <w:pPr>
              <w:rPr>
                <w:lang w:val="es-CL"/>
              </w:rPr>
            </w:pPr>
            <w:r w:rsidRPr="002E47D5">
              <w:rPr>
                <w:lang w:val="es-CL"/>
              </w:rPr>
              <w:t>Res. Ex. N°126/2026 – DOP MOP Región de Los Lagos</w:t>
            </w:r>
          </w:p>
        </w:tc>
      </w:tr>
      <w:tr w:rsidR="002347C2" w:rsidRPr="002E47D5" w14:paraId="713E6CAE" w14:textId="77777777">
        <w:tc>
          <w:tcPr>
            <w:tcW w:w="2160" w:type="dxa"/>
          </w:tcPr>
          <w:p w14:paraId="714BB81A" w14:textId="77777777" w:rsidR="002347C2" w:rsidRPr="002E47D5" w:rsidRDefault="00F67EED">
            <w:pPr>
              <w:rPr>
                <w:lang w:val="es-CL"/>
              </w:rPr>
            </w:pPr>
            <w:r w:rsidRPr="002E47D5">
              <w:rPr>
                <w:lang w:val="es-CL"/>
              </w:rPr>
              <w:t>2</w:t>
            </w:r>
          </w:p>
        </w:tc>
        <w:tc>
          <w:tcPr>
            <w:tcW w:w="2160" w:type="dxa"/>
          </w:tcPr>
          <w:p w14:paraId="00E2AEAB" w14:textId="77777777" w:rsidR="002347C2" w:rsidRPr="002E47D5" w:rsidRDefault="00F67EED">
            <w:pPr>
              <w:rPr>
                <w:lang w:val="es-CL"/>
              </w:rPr>
            </w:pPr>
            <w:r w:rsidRPr="002E47D5">
              <w:rPr>
                <w:lang w:val="es-CL"/>
              </w:rPr>
              <w:t>Convenio de Colaboración</w:t>
            </w:r>
          </w:p>
        </w:tc>
        <w:tc>
          <w:tcPr>
            <w:tcW w:w="2160" w:type="dxa"/>
          </w:tcPr>
          <w:p w14:paraId="135374EB" w14:textId="77777777" w:rsidR="002347C2" w:rsidRPr="002E47D5" w:rsidRDefault="00F67EED">
            <w:pPr>
              <w:rPr>
                <w:lang w:val="es-CL"/>
              </w:rPr>
            </w:pPr>
            <w:r w:rsidRPr="002E47D5">
              <w:rPr>
                <w:lang w:val="es-CL"/>
              </w:rPr>
              <w:t>Ilustre Municipalidad de San Juan de la Costa</w:t>
            </w:r>
          </w:p>
        </w:tc>
        <w:tc>
          <w:tcPr>
            <w:tcW w:w="2160" w:type="dxa"/>
          </w:tcPr>
          <w:p w14:paraId="03B927F4" w14:textId="77777777" w:rsidR="002347C2" w:rsidRPr="002E47D5" w:rsidRDefault="00F67EED">
            <w:pPr>
              <w:rPr>
                <w:lang w:val="es-CL"/>
              </w:rPr>
            </w:pPr>
            <w:r w:rsidRPr="002E47D5">
              <w:rPr>
                <w:lang w:val="es-CL"/>
              </w:rPr>
              <w:t>Res. Ex. N°181/2026 – DOP MOP Región de Los Lagos</w:t>
            </w:r>
          </w:p>
        </w:tc>
      </w:tr>
      <w:tr w:rsidR="002347C2" w:rsidRPr="002E47D5" w14:paraId="4643FDB8" w14:textId="77777777">
        <w:tc>
          <w:tcPr>
            <w:tcW w:w="2160" w:type="dxa"/>
          </w:tcPr>
          <w:p w14:paraId="02DC37C7" w14:textId="77777777" w:rsidR="002347C2" w:rsidRPr="002E47D5" w:rsidRDefault="00F67EED">
            <w:pPr>
              <w:rPr>
                <w:lang w:val="es-CL"/>
              </w:rPr>
            </w:pPr>
            <w:r w:rsidRPr="002E47D5">
              <w:rPr>
                <w:lang w:val="es-CL"/>
              </w:rPr>
              <w:t>3</w:t>
            </w:r>
          </w:p>
        </w:tc>
        <w:tc>
          <w:tcPr>
            <w:tcW w:w="2160" w:type="dxa"/>
          </w:tcPr>
          <w:p w14:paraId="55548005" w14:textId="77777777" w:rsidR="002347C2" w:rsidRPr="002E47D5" w:rsidRDefault="00F67EED">
            <w:pPr>
              <w:rPr>
                <w:lang w:val="es-CL"/>
              </w:rPr>
            </w:pPr>
            <w:r w:rsidRPr="002E47D5">
              <w:rPr>
                <w:lang w:val="es-CL"/>
              </w:rPr>
              <w:t>Uso provisorio y administración</w:t>
            </w:r>
          </w:p>
        </w:tc>
        <w:tc>
          <w:tcPr>
            <w:tcW w:w="2160" w:type="dxa"/>
          </w:tcPr>
          <w:p w14:paraId="25C01889" w14:textId="77777777" w:rsidR="002347C2" w:rsidRPr="002E47D5" w:rsidRDefault="00F67EED">
            <w:pPr>
              <w:rPr>
                <w:lang w:val="es-CL"/>
              </w:rPr>
            </w:pPr>
            <w:r w:rsidRPr="002E47D5">
              <w:rPr>
                <w:lang w:val="es-CL"/>
              </w:rPr>
              <w:t>Ilustre Municipalidad de Llanquihue – Borde Costero IANSA</w:t>
            </w:r>
          </w:p>
        </w:tc>
        <w:tc>
          <w:tcPr>
            <w:tcW w:w="2160" w:type="dxa"/>
          </w:tcPr>
          <w:p w14:paraId="557A0CA5" w14:textId="77777777" w:rsidR="002347C2" w:rsidRPr="002E47D5" w:rsidRDefault="00F67EED">
            <w:pPr>
              <w:rPr>
                <w:lang w:val="es-CL"/>
              </w:rPr>
            </w:pPr>
            <w:r w:rsidRPr="002E47D5">
              <w:rPr>
                <w:lang w:val="es-CL"/>
              </w:rPr>
              <w:t>Res. Ex. N°135/2026 – DOP MOP Región de Los Lagos</w:t>
            </w:r>
          </w:p>
        </w:tc>
      </w:tr>
      <w:tr w:rsidR="002347C2" w:rsidRPr="002E47D5" w14:paraId="2A946DC3" w14:textId="77777777">
        <w:tc>
          <w:tcPr>
            <w:tcW w:w="2160" w:type="dxa"/>
          </w:tcPr>
          <w:p w14:paraId="39694546" w14:textId="77777777" w:rsidR="002347C2" w:rsidRPr="002E47D5" w:rsidRDefault="00F67EED">
            <w:pPr>
              <w:rPr>
                <w:lang w:val="es-CL"/>
              </w:rPr>
            </w:pPr>
            <w:r w:rsidRPr="002E47D5">
              <w:rPr>
                <w:lang w:val="es-CL"/>
              </w:rPr>
              <w:t>4</w:t>
            </w:r>
          </w:p>
        </w:tc>
        <w:tc>
          <w:tcPr>
            <w:tcW w:w="2160" w:type="dxa"/>
          </w:tcPr>
          <w:p w14:paraId="16936892" w14:textId="77777777" w:rsidR="002347C2" w:rsidRPr="002E47D5" w:rsidRDefault="00F67EED">
            <w:pPr>
              <w:rPr>
                <w:lang w:val="es-CL"/>
              </w:rPr>
            </w:pPr>
            <w:r w:rsidRPr="002E47D5">
              <w:rPr>
                <w:lang w:val="es-CL"/>
              </w:rPr>
              <w:t>Uso provisorio y administración</w:t>
            </w:r>
          </w:p>
        </w:tc>
        <w:tc>
          <w:tcPr>
            <w:tcW w:w="2160" w:type="dxa"/>
          </w:tcPr>
          <w:p w14:paraId="301F7039" w14:textId="77777777" w:rsidR="002347C2" w:rsidRPr="002E47D5" w:rsidRDefault="00F67EED">
            <w:pPr>
              <w:rPr>
                <w:lang w:val="es-CL"/>
              </w:rPr>
            </w:pPr>
            <w:r w:rsidRPr="002E47D5">
              <w:rPr>
                <w:lang w:val="es-CL"/>
              </w:rPr>
              <w:t>Ilustre Municipalidad de Villa O’Higgins – Muelle Ventisquero Chico</w:t>
            </w:r>
          </w:p>
        </w:tc>
        <w:tc>
          <w:tcPr>
            <w:tcW w:w="2160" w:type="dxa"/>
          </w:tcPr>
          <w:p w14:paraId="4121039D" w14:textId="77777777" w:rsidR="002347C2" w:rsidRPr="002E47D5" w:rsidRDefault="00F67EED">
            <w:pPr>
              <w:rPr>
                <w:lang w:val="es-CL"/>
              </w:rPr>
            </w:pPr>
            <w:r w:rsidRPr="002E47D5">
              <w:rPr>
                <w:lang w:val="es-CL"/>
              </w:rPr>
              <w:t>Res. Ex. N°54/2026 – DOP MOP Región de Aysén</w:t>
            </w:r>
          </w:p>
        </w:tc>
      </w:tr>
      <w:tr w:rsidR="002347C2" w:rsidRPr="002E47D5" w14:paraId="7D2A2702" w14:textId="77777777">
        <w:tc>
          <w:tcPr>
            <w:tcW w:w="2160" w:type="dxa"/>
          </w:tcPr>
          <w:p w14:paraId="1B438F82" w14:textId="77777777" w:rsidR="002347C2" w:rsidRPr="002E47D5" w:rsidRDefault="00F67EED">
            <w:pPr>
              <w:rPr>
                <w:lang w:val="es-CL"/>
              </w:rPr>
            </w:pPr>
            <w:r w:rsidRPr="002E47D5">
              <w:rPr>
                <w:lang w:val="es-CL"/>
              </w:rPr>
              <w:t>5</w:t>
            </w:r>
          </w:p>
        </w:tc>
        <w:tc>
          <w:tcPr>
            <w:tcW w:w="2160" w:type="dxa"/>
          </w:tcPr>
          <w:p w14:paraId="09E53483" w14:textId="77777777" w:rsidR="002347C2" w:rsidRPr="002E47D5" w:rsidRDefault="00F67EED">
            <w:pPr>
              <w:rPr>
                <w:lang w:val="es-CL"/>
              </w:rPr>
            </w:pPr>
            <w:r w:rsidRPr="002E47D5">
              <w:rPr>
                <w:lang w:val="es-CL"/>
              </w:rPr>
              <w:t>Uso provisorio y administración</w:t>
            </w:r>
          </w:p>
        </w:tc>
        <w:tc>
          <w:tcPr>
            <w:tcW w:w="2160" w:type="dxa"/>
          </w:tcPr>
          <w:p w14:paraId="391C479A" w14:textId="77777777" w:rsidR="002347C2" w:rsidRPr="002E47D5" w:rsidRDefault="00F67EED">
            <w:pPr>
              <w:rPr>
                <w:lang w:val="es-CL"/>
              </w:rPr>
            </w:pPr>
            <w:r w:rsidRPr="002E47D5">
              <w:rPr>
                <w:lang w:val="es-CL"/>
              </w:rPr>
              <w:t>Ilustre Municipalidad de Villa O’Higgins – Bahía Bahamonde</w:t>
            </w:r>
          </w:p>
        </w:tc>
        <w:tc>
          <w:tcPr>
            <w:tcW w:w="2160" w:type="dxa"/>
          </w:tcPr>
          <w:p w14:paraId="0CF3B9C3" w14:textId="77777777" w:rsidR="002347C2" w:rsidRPr="002E47D5" w:rsidRDefault="00F67EED">
            <w:pPr>
              <w:rPr>
                <w:lang w:val="es-CL"/>
              </w:rPr>
            </w:pPr>
            <w:r w:rsidRPr="002E47D5">
              <w:rPr>
                <w:lang w:val="es-CL"/>
              </w:rPr>
              <w:t>Res. Ex. N°62/2026 – DOP MOP Región de Aysén</w:t>
            </w:r>
          </w:p>
        </w:tc>
      </w:tr>
      <w:tr w:rsidR="002347C2" w:rsidRPr="002E47D5" w14:paraId="68D6C65C" w14:textId="77777777">
        <w:tc>
          <w:tcPr>
            <w:tcW w:w="2160" w:type="dxa"/>
          </w:tcPr>
          <w:p w14:paraId="55276845" w14:textId="77777777" w:rsidR="002347C2" w:rsidRPr="002E47D5" w:rsidRDefault="00F67EED">
            <w:pPr>
              <w:rPr>
                <w:lang w:val="es-CL"/>
              </w:rPr>
            </w:pPr>
            <w:r w:rsidRPr="002E47D5">
              <w:rPr>
                <w:lang w:val="es-CL"/>
              </w:rPr>
              <w:t>6</w:t>
            </w:r>
          </w:p>
        </w:tc>
        <w:tc>
          <w:tcPr>
            <w:tcW w:w="2160" w:type="dxa"/>
          </w:tcPr>
          <w:p w14:paraId="63D7F24F" w14:textId="77777777" w:rsidR="002347C2" w:rsidRPr="002E47D5" w:rsidRDefault="00F67EED">
            <w:pPr>
              <w:rPr>
                <w:lang w:val="es-CL"/>
              </w:rPr>
            </w:pPr>
            <w:r w:rsidRPr="002E47D5">
              <w:rPr>
                <w:lang w:val="es-CL"/>
              </w:rPr>
              <w:t>Uso provisorio y administración</w:t>
            </w:r>
          </w:p>
        </w:tc>
        <w:tc>
          <w:tcPr>
            <w:tcW w:w="2160" w:type="dxa"/>
          </w:tcPr>
          <w:p w14:paraId="6E77B955" w14:textId="77777777" w:rsidR="002347C2" w:rsidRPr="002E47D5" w:rsidRDefault="00F67EED">
            <w:pPr>
              <w:rPr>
                <w:lang w:val="es-CL"/>
              </w:rPr>
            </w:pPr>
            <w:r w:rsidRPr="002E47D5">
              <w:rPr>
                <w:lang w:val="es-CL"/>
              </w:rPr>
              <w:t>Corporación Puerto Estaquilla – Comuna de Los Muermos</w:t>
            </w:r>
          </w:p>
        </w:tc>
        <w:tc>
          <w:tcPr>
            <w:tcW w:w="2160" w:type="dxa"/>
          </w:tcPr>
          <w:p w14:paraId="020DDCA8" w14:textId="77777777" w:rsidR="002347C2" w:rsidRPr="002E47D5" w:rsidRDefault="00F67EED">
            <w:pPr>
              <w:rPr>
                <w:lang w:val="es-CL"/>
              </w:rPr>
            </w:pPr>
            <w:r w:rsidRPr="002E47D5">
              <w:rPr>
                <w:lang w:val="es-CL"/>
              </w:rPr>
              <w:t>Res. Ex. N°501/2026 – DOP MOP Región de Los Lagos</w:t>
            </w:r>
          </w:p>
        </w:tc>
      </w:tr>
      <w:tr w:rsidR="002347C2" w:rsidRPr="002E47D5" w14:paraId="70858146" w14:textId="77777777">
        <w:tc>
          <w:tcPr>
            <w:tcW w:w="2160" w:type="dxa"/>
          </w:tcPr>
          <w:p w14:paraId="1284B382" w14:textId="77777777" w:rsidR="002347C2" w:rsidRPr="002E47D5" w:rsidRDefault="00F67EED">
            <w:pPr>
              <w:rPr>
                <w:lang w:val="es-CL"/>
              </w:rPr>
            </w:pPr>
            <w:r w:rsidRPr="002E47D5">
              <w:rPr>
                <w:lang w:val="es-CL"/>
              </w:rPr>
              <w:t>7</w:t>
            </w:r>
          </w:p>
        </w:tc>
        <w:tc>
          <w:tcPr>
            <w:tcW w:w="2160" w:type="dxa"/>
          </w:tcPr>
          <w:p w14:paraId="07E744EB" w14:textId="77777777" w:rsidR="002347C2" w:rsidRPr="002E47D5" w:rsidRDefault="00F67EED">
            <w:pPr>
              <w:rPr>
                <w:lang w:val="es-CL"/>
              </w:rPr>
            </w:pPr>
            <w:r w:rsidRPr="002E47D5">
              <w:rPr>
                <w:lang w:val="es-CL"/>
              </w:rPr>
              <w:t>Convenio de Programación</w:t>
            </w:r>
          </w:p>
        </w:tc>
        <w:tc>
          <w:tcPr>
            <w:tcW w:w="2160" w:type="dxa"/>
          </w:tcPr>
          <w:p w14:paraId="4E4B91CF" w14:textId="77777777" w:rsidR="002347C2" w:rsidRPr="002E47D5" w:rsidRDefault="00F67EED">
            <w:pPr>
              <w:rPr>
                <w:lang w:val="es-CL"/>
              </w:rPr>
            </w:pPr>
            <w:r w:rsidRPr="002E47D5">
              <w:rPr>
                <w:lang w:val="es-CL"/>
              </w:rPr>
              <w:t>Gobierno Regional del Maule – Ministerio de Obras Públicas (DOP)</w:t>
            </w:r>
          </w:p>
        </w:tc>
        <w:tc>
          <w:tcPr>
            <w:tcW w:w="2160" w:type="dxa"/>
          </w:tcPr>
          <w:p w14:paraId="44259302" w14:textId="77777777" w:rsidR="002347C2" w:rsidRPr="002E47D5" w:rsidRDefault="00F67EED">
            <w:pPr>
              <w:rPr>
                <w:lang w:val="es-CL"/>
              </w:rPr>
            </w:pPr>
            <w:r w:rsidRPr="002E47D5">
              <w:rPr>
                <w:lang w:val="es-CL"/>
              </w:rPr>
              <w:t>Decreto Exento N°37/2026 – Gobierno Regional del Maule</w:t>
            </w:r>
          </w:p>
        </w:tc>
      </w:tr>
      <w:tr w:rsidR="002347C2" w:rsidRPr="002E47D5" w14:paraId="4B9A43FE" w14:textId="77777777">
        <w:tc>
          <w:tcPr>
            <w:tcW w:w="2160" w:type="dxa"/>
          </w:tcPr>
          <w:p w14:paraId="4CBD5A8E" w14:textId="77777777" w:rsidR="002347C2" w:rsidRPr="002E47D5" w:rsidRDefault="00F67EED">
            <w:pPr>
              <w:rPr>
                <w:lang w:val="es-CL"/>
              </w:rPr>
            </w:pPr>
            <w:r w:rsidRPr="002E47D5">
              <w:rPr>
                <w:lang w:val="es-CL"/>
              </w:rPr>
              <w:t>8</w:t>
            </w:r>
          </w:p>
        </w:tc>
        <w:tc>
          <w:tcPr>
            <w:tcW w:w="2160" w:type="dxa"/>
          </w:tcPr>
          <w:p w14:paraId="1747EACE" w14:textId="77777777" w:rsidR="002347C2" w:rsidRPr="002E47D5" w:rsidRDefault="00F67EED">
            <w:pPr>
              <w:rPr>
                <w:lang w:val="es-CL"/>
              </w:rPr>
            </w:pPr>
            <w:r w:rsidRPr="002E47D5">
              <w:rPr>
                <w:lang w:val="es-CL"/>
              </w:rPr>
              <w:t>Convenio Mandato FNDR</w:t>
            </w:r>
          </w:p>
        </w:tc>
        <w:tc>
          <w:tcPr>
            <w:tcW w:w="2160" w:type="dxa"/>
          </w:tcPr>
          <w:p w14:paraId="3D07A5EC" w14:textId="77777777" w:rsidR="002347C2" w:rsidRPr="002E47D5" w:rsidRDefault="00F67EED">
            <w:pPr>
              <w:rPr>
                <w:lang w:val="es-CL"/>
              </w:rPr>
            </w:pPr>
            <w:r w:rsidRPr="002E47D5">
              <w:rPr>
                <w:lang w:val="es-CL"/>
              </w:rPr>
              <w:t>Gobierno Regional de Antofagasta – Proyecto Taltal (C.BIP 30210972-0)</w:t>
            </w:r>
          </w:p>
        </w:tc>
        <w:tc>
          <w:tcPr>
            <w:tcW w:w="2160" w:type="dxa"/>
          </w:tcPr>
          <w:p w14:paraId="69751457" w14:textId="77777777" w:rsidR="002347C2" w:rsidRPr="002E47D5" w:rsidRDefault="00F67EED">
            <w:pPr>
              <w:rPr>
                <w:lang w:val="es-CL"/>
              </w:rPr>
            </w:pPr>
            <w:r w:rsidRPr="002E47D5">
              <w:rPr>
                <w:lang w:val="es-CL"/>
              </w:rPr>
              <w:t xml:space="preserve">Res. Ex. N°479/2026 – Gobierno Regional de Antofagasta; Res. Ex. N°202/2026 – SEREMI MOP </w:t>
            </w:r>
            <w:r w:rsidRPr="002E47D5">
              <w:rPr>
                <w:lang w:val="es-CL"/>
              </w:rPr>
              <w:lastRenderedPageBreak/>
              <w:t>Región de Antofagasta</w:t>
            </w:r>
          </w:p>
        </w:tc>
      </w:tr>
    </w:tbl>
    <w:p w14:paraId="11DD9214" w14:textId="1A0E98C1" w:rsidR="00C243D4" w:rsidRDefault="00C243D4">
      <w:pPr>
        <w:rPr>
          <w:lang w:val="es-CL"/>
        </w:rPr>
      </w:pPr>
    </w:p>
    <w:p w14:paraId="3D06D3FE" w14:textId="333AC487" w:rsidR="00F67EED" w:rsidRPr="002E47D5" w:rsidRDefault="00F67EED" w:rsidP="00F67EED">
      <w:pPr>
        <w:jc w:val="both"/>
        <w:rPr>
          <w:lang w:val="es-CL"/>
        </w:rPr>
      </w:pPr>
      <w:r w:rsidRPr="00F67EED">
        <w:rPr>
          <w:lang w:val="es-CL"/>
        </w:rPr>
        <w:t>Nota: El presente catastro considera únicamente los convenios base jurídicamente distintos suscritos y/o vigentes durante el primer trimestre de 2026. Las resoluciones aprobatorias de carácter complementario o de validación institucional, así como los anexos modificatorios que no alteran el objeto ni incorporan compromisos financieros adicionales, se consignan dentro de la misma fila del convenio respectivo y no se contabiliza</w:t>
      </w:r>
      <w:r w:rsidR="00891ED6">
        <w:rPr>
          <w:lang w:val="es-CL"/>
        </w:rPr>
        <w:t>ron</w:t>
      </w:r>
      <w:r w:rsidRPr="00F67EED">
        <w:rPr>
          <w:lang w:val="es-CL"/>
        </w:rPr>
        <w:t xml:space="preserve"> como instrumentos independientes.</w:t>
      </w:r>
    </w:p>
    <w:sectPr w:rsidR="00F67EED" w:rsidRPr="002E47D5"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aconnmero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aconnmero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aconvieta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aconvieta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aconnmero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aconvietas"/>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5074B"/>
    <w:rsid w:val="001D4A90"/>
    <w:rsid w:val="002347C2"/>
    <w:rsid w:val="0029639D"/>
    <w:rsid w:val="002E47D5"/>
    <w:rsid w:val="00326F90"/>
    <w:rsid w:val="00891ED6"/>
    <w:rsid w:val="009C5396"/>
    <w:rsid w:val="00AA1D8D"/>
    <w:rsid w:val="00B47730"/>
    <w:rsid w:val="00C243D4"/>
    <w:rsid w:val="00CB0664"/>
    <w:rsid w:val="00F67EED"/>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4062061"/>
  <w14:defaultImageDpi w14:val="300"/>
  <w15:docId w15:val="{114B9212-474E-45A1-A8E8-C57913606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C693F"/>
  </w:style>
  <w:style w:type="paragraph" w:styleId="Ttulo1">
    <w:name w:val="heading 1"/>
    <w:basedOn w:val="Normal"/>
    <w:next w:val="Normal"/>
    <w:link w:val="Ttulo1C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tulo9">
    <w:name w:val="heading 9"/>
    <w:basedOn w:val="Normal"/>
    <w:next w:val="Normal"/>
    <w:link w:val="Ttulo9C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618BF"/>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E618BF"/>
  </w:style>
  <w:style w:type="paragraph" w:styleId="Piedepgina">
    <w:name w:val="footer"/>
    <w:basedOn w:val="Normal"/>
    <w:link w:val="PiedepginaCar"/>
    <w:uiPriority w:val="99"/>
    <w:unhideWhenUsed/>
    <w:rsid w:val="00E618BF"/>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E618BF"/>
  </w:style>
  <w:style w:type="paragraph" w:styleId="Sinespaciado">
    <w:name w:val="No Spacing"/>
    <w:uiPriority w:val="1"/>
    <w:qFormat/>
    <w:rsid w:val="00FC693F"/>
    <w:pPr>
      <w:spacing w:after="0" w:line="240" w:lineRule="auto"/>
    </w:pPr>
  </w:style>
  <w:style w:type="character" w:customStyle="1" w:styleId="Ttulo1Car">
    <w:name w:val="Título 1 Car"/>
    <w:basedOn w:val="Fuentedeprrafopredeter"/>
    <w:link w:val="Ttulo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tulo2Car">
    <w:name w:val="Título 2 Car"/>
    <w:basedOn w:val="Fuentedeprrafopredeter"/>
    <w:link w:val="Ttulo2"/>
    <w:uiPriority w:val="9"/>
    <w:rsid w:val="00FC693F"/>
    <w:rPr>
      <w:rFonts w:asciiTheme="majorHAnsi" w:eastAsiaTheme="majorEastAsia" w:hAnsiTheme="majorHAnsi" w:cstheme="majorBidi"/>
      <w:b/>
      <w:bCs/>
      <w:color w:val="4F81BD" w:themeColor="accent1"/>
      <w:sz w:val="26"/>
      <w:szCs w:val="26"/>
    </w:rPr>
  </w:style>
  <w:style w:type="character" w:customStyle="1" w:styleId="Ttulo3Car">
    <w:name w:val="Título 3 Car"/>
    <w:basedOn w:val="Fuentedeprrafopredeter"/>
    <w:link w:val="Ttulo3"/>
    <w:uiPriority w:val="9"/>
    <w:rsid w:val="00FC693F"/>
    <w:rPr>
      <w:rFonts w:asciiTheme="majorHAnsi" w:eastAsiaTheme="majorEastAsia" w:hAnsiTheme="majorHAnsi" w:cstheme="majorBidi"/>
      <w:b/>
      <w:bCs/>
      <w:color w:val="4F81BD" w:themeColor="accent1"/>
    </w:rPr>
  </w:style>
  <w:style w:type="paragraph" w:styleId="Ttulo">
    <w:name w:val="Title"/>
    <w:basedOn w:val="Normal"/>
    <w:next w:val="Normal"/>
    <w:link w:val="TtuloC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tulo">
    <w:name w:val="Subtitle"/>
    <w:basedOn w:val="Normal"/>
    <w:next w:val="Normal"/>
    <w:link w:val="SubttuloC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ar">
    <w:name w:val="Subtítulo Car"/>
    <w:basedOn w:val="Fuentedeprrafopredeter"/>
    <w:link w:val="Subttulo"/>
    <w:uiPriority w:val="11"/>
    <w:rsid w:val="00FC693F"/>
    <w:rPr>
      <w:rFonts w:asciiTheme="majorHAnsi" w:eastAsiaTheme="majorEastAsia" w:hAnsiTheme="majorHAnsi" w:cstheme="majorBidi"/>
      <w:i/>
      <w:iCs/>
      <w:color w:val="4F81BD" w:themeColor="accent1"/>
      <w:spacing w:val="15"/>
      <w:sz w:val="24"/>
      <w:szCs w:val="24"/>
    </w:rPr>
  </w:style>
  <w:style w:type="paragraph" w:styleId="Prrafodelista">
    <w:name w:val="List Paragraph"/>
    <w:basedOn w:val="Normal"/>
    <w:uiPriority w:val="34"/>
    <w:qFormat/>
    <w:rsid w:val="00FC693F"/>
    <w:pPr>
      <w:ind w:left="720"/>
      <w:contextualSpacing/>
    </w:pPr>
  </w:style>
  <w:style w:type="paragraph" w:styleId="Textoindependiente">
    <w:name w:val="Body Text"/>
    <w:basedOn w:val="Normal"/>
    <w:link w:val="TextoindependienteCar"/>
    <w:uiPriority w:val="99"/>
    <w:unhideWhenUsed/>
    <w:rsid w:val="00AA1D8D"/>
    <w:pPr>
      <w:spacing w:after="120"/>
    </w:pPr>
  </w:style>
  <w:style w:type="character" w:customStyle="1" w:styleId="TextoindependienteCar">
    <w:name w:val="Texto independiente Car"/>
    <w:basedOn w:val="Fuentedeprrafopredeter"/>
    <w:link w:val="Textoindependiente"/>
    <w:uiPriority w:val="99"/>
    <w:rsid w:val="00AA1D8D"/>
  </w:style>
  <w:style w:type="paragraph" w:styleId="Textoindependiente2">
    <w:name w:val="Body Text 2"/>
    <w:basedOn w:val="Normal"/>
    <w:link w:val="Textoindependiente2Car"/>
    <w:uiPriority w:val="99"/>
    <w:unhideWhenUsed/>
    <w:rsid w:val="00AA1D8D"/>
    <w:pPr>
      <w:spacing w:after="120" w:line="480" w:lineRule="auto"/>
    </w:pPr>
  </w:style>
  <w:style w:type="character" w:customStyle="1" w:styleId="Textoindependiente2Car">
    <w:name w:val="Texto independiente 2 Car"/>
    <w:basedOn w:val="Fuentedeprrafopredeter"/>
    <w:link w:val="Textoindependiente2"/>
    <w:uiPriority w:val="99"/>
    <w:rsid w:val="00AA1D8D"/>
  </w:style>
  <w:style w:type="paragraph" w:styleId="Textoindependiente3">
    <w:name w:val="Body Text 3"/>
    <w:basedOn w:val="Normal"/>
    <w:link w:val="Textoindependiente3Car"/>
    <w:uiPriority w:val="99"/>
    <w:unhideWhenUsed/>
    <w:rsid w:val="00AA1D8D"/>
    <w:pPr>
      <w:spacing w:after="120"/>
    </w:pPr>
    <w:rPr>
      <w:sz w:val="16"/>
      <w:szCs w:val="16"/>
    </w:rPr>
  </w:style>
  <w:style w:type="character" w:customStyle="1" w:styleId="Textoindependiente3Car">
    <w:name w:val="Texto independiente 3 Car"/>
    <w:basedOn w:val="Fuentedeprrafopredeter"/>
    <w:link w:val="Textoindependiente3"/>
    <w:uiPriority w:val="99"/>
    <w:rsid w:val="00AA1D8D"/>
    <w:rPr>
      <w:sz w:val="16"/>
      <w:szCs w:val="16"/>
    </w:rPr>
  </w:style>
  <w:style w:type="paragraph" w:styleId="Lista">
    <w:name w:val="List"/>
    <w:basedOn w:val="Normal"/>
    <w:uiPriority w:val="99"/>
    <w:unhideWhenUsed/>
    <w:rsid w:val="00AA1D8D"/>
    <w:pPr>
      <w:ind w:left="360" w:hanging="360"/>
      <w:contextualSpacing/>
    </w:pPr>
  </w:style>
  <w:style w:type="paragraph" w:styleId="Lista2">
    <w:name w:val="List 2"/>
    <w:basedOn w:val="Normal"/>
    <w:uiPriority w:val="99"/>
    <w:unhideWhenUsed/>
    <w:rsid w:val="00326F90"/>
    <w:pPr>
      <w:ind w:left="720" w:hanging="360"/>
      <w:contextualSpacing/>
    </w:pPr>
  </w:style>
  <w:style w:type="paragraph" w:styleId="Lista3">
    <w:name w:val="List 3"/>
    <w:basedOn w:val="Normal"/>
    <w:uiPriority w:val="99"/>
    <w:unhideWhenUsed/>
    <w:rsid w:val="00326F90"/>
    <w:pPr>
      <w:ind w:left="1080" w:hanging="360"/>
      <w:contextualSpacing/>
    </w:pPr>
  </w:style>
  <w:style w:type="paragraph" w:styleId="Listaconvietas">
    <w:name w:val="List Bullet"/>
    <w:basedOn w:val="Normal"/>
    <w:uiPriority w:val="99"/>
    <w:unhideWhenUsed/>
    <w:rsid w:val="00326F90"/>
    <w:pPr>
      <w:numPr>
        <w:numId w:val="1"/>
      </w:numPr>
      <w:contextualSpacing/>
    </w:pPr>
  </w:style>
  <w:style w:type="paragraph" w:styleId="Listaconvietas2">
    <w:name w:val="List Bullet 2"/>
    <w:basedOn w:val="Normal"/>
    <w:uiPriority w:val="99"/>
    <w:unhideWhenUsed/>
    <w:rsid w:val="00326F90"/>
    <w:pPr>
      <w:numPr>
        <w:numId w:val="2"/>
      </w:numPr>
      <w:contextualSpacing/>
    </w:pPr>
  </w:style>
  <w:style w:type="paragraph" w:styleId="Listaconvietas3">
    <w:name w:val="List Bullet 3"/>
    <w:basedOn w:val="Normal"/>
    <w:uiPriority w:val="99"/>
    <w:unhideWhenUsed/>
    <w:rsid w:val="00326F90"/>
    <w:pPr>
      <w:numPr>
        <w:numId w:val="3"/>
      </w:numPr>
      <w:contextualSpacing/>
    </w:pPr>
  </w:style>
  <w:style w:type="paragraph" w:styleId="Listaconnmeros">
    <w:name w:val="List Number"/>
    <w:basedOn w:val="Normal"/>
    <w:uiPriority w:val="99"/>
    <w:unhideWhenUsed/>
    <w:rsid w:val="00326F90"/>
    <w:pPr>
      <w:numPr>
        <w:numId w:val="5"/>
      </w:numPr>
      <w:contextualSpacing/>
    </w:pPr>
  </w:style>
  <w:style w:type="paragraph" w:styleId="Listaconnmeros2">
    <w:name w:val="List Number 2"/>
    <w:basedOn w:val="Normal"/>
    <w:uiPriority w:val="99"/>
    <w:unhideWhenUsed/>
    <w:rsid w:val="0029639D"/>
    <w:pPr>
      <w:numPr>
        <w:numId w:val="6"/>
      </w:numPr>
      <w:contextualSpacing/>
    </w:pPr>
  </w:style>
  <w:style w:type="paragraph" w:styleId="Listaconnmeros3">
    <w:name w:val="List Number 3"/>
    <w:basedOn w:val="Normal"/>
    <w:uiPriority w:val="99"/>
    <w:unhideWhenUsed/>
    <w:rsid w:val="0029639D"/>
    <w:pPr>
      <w:numPr>
        <w:numId w:val="7"/>
      </w:numPr>
      <w:contextualSpacing/>
    </w:pPr>
  </w:style>
  <w:style w:type="paragraph" w:styleId="Continuarlista">
    <w:name w:val="List Continue"/>
    <w:basedOn w:val="Normal"/>
    <w:uiPriority w:val="99"/>
    <w:unhideWhenUsed/>
    <w:rsid w:val="0029639D"/>
    <w:pPr>
      <w:spacing w:after="120"/>
      <w:ind w:left="360"/>
      <w:contextualSpacing/>
    </w:pPr>
  </w:style>
  <w:style w:type="paragraph" w:styleId="Continuarlista2">
    <w:name w:val="List Continue 2"/>
    <w:basedOn w:val="Normal"/>
    <w:uiPriority w:val="99"/>
    <w:unhideWhenUsed/>
    <w:rsid w:val="0029639D"/>
    <w:pPr>
      <w:spacing w:after="120"/>
      <w:ind w:left="720"/>
      <w:contextualSpacing/>
    </w:pPr>
  </w:style>
  <w:style w:type="paragraph" w:styleId="Continuarlista3">
    <w:name w:val="List Continue 3"/>
    <w:basedOn w:val="Normal"/>
    <w:uiPriority w:val="99"/>
    <w:unhideWhenUsed/>
    <w:rsid w:val="0029639D"/>
    <w:pPr>
      <w:spacing w:after="120"/>
      <w:ind w:left="1080"/>
      <w:contextualSpacing/>
    </w:pPr>
  </w:style>
  <w:style w:type="paragraph" w:styleId="Textomacro">
    <w:name w:val="macro"/>
    <w:link w:val="TextomacroC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omacroCar">
    <w:name w:val="Texto macro Car"/>
    <w:basedOn w:val="Fuentedeprrafopredeter"/>
    <w:link w:val="Textomacro"/>
    <w:uiPriority w:val="99"/>
    <w:rsid w:val="0029639D"/>
    <w:rPr>
      <w:rFonts w:ascii="Courier" w:hAnsi="Courier"/>
      <w:sz w:val="20"/>
      <w:szCs w:val="20"/>
    </w:rPr>
  </w:style>
  <w:style w:type="paragraph" w:styleId="Cita">
    <w:name w:val="Quote"/>
    <w:basedOn w:val="Normal"/>
    <w:next w:val="Normal"/>
    <w:link w:val="CitaCar"/>
    <w:uiPriority w:val="29"/>
    <w:qFormat/>
    <w:rsid w:val="00FC693F"/>
    <w:rPr>
      <w:i/>
      <w:iCs/>
      <w:color w:val="000000" w:themeColor="text1"/>
    </w:rPr>
  </w:style>
  <w:style w:type="character" w:customStyle="1" w:styleId="CitaCar">
    <w:name w:val="Cita Car"/>
    <w:basedOn w:val="Fuentedeprrafopredeter"/>
    <w:link w:val="Cita"/>
    <w:uiPriority w:val="29"/>
    <w:rsid w:val="00FC693F"/>
    <w:rPr>
      <w:i/>
      <w:iCs/>
      <w:color w:val="000000" w:themeColor="text1"/>
    </w:rPr>
  </w:style>
  <w:style w:type="character" w:customStyle="1" w:styleId="Ttulo4Car">
    <w:name w:val="Título 4 Car"/>
    <w:basedOn w:val="Fuentedeprrafopredeter"/>
    <w:link w:val="Ttulo4"/>
    <w:uiPriority w:val="9"/>
    <w:semiHidden/>
    <w:rsid w:val="00FC693F"/>
    <w:rPr>
      <w:rFonts w:asciiTheme="majorHAnsi" w:eastAsiaTheme="majorEastAsia" w:hAnsiTheme="majorHAnsi" w:cstheme="majorBidi"/>
      <w:b/>
      <w:bCs/>
      <w:i/>
      <w:iCs/>
      <w:color w:val="4F81BD" w:themeColor="accent1"/>
    </w:rPr>
  </w:style>
  <w:style w:type="character" w:customStyle="1" w:styleId="Ttulo5Car">
    <w:name w:val="Título 5 Car"/>
    <w:basedOn w:val="Fuentedeprrafopredeter"/>
    <w:link w:val="Ttulo5"/>
    <w:uiPriority w:val="9"/>
    <w:semiHidden/>
    <w:rsid w:val="00FC693F"/>
    <w:rPr>
      <w:rFonts w:asciiTheme="majorHAnsi" w:eastAsiaTheme="majorEastAsia" w:hAnsiTheme="majorHAnsi" w:cstheme="majorBidi"/>
      <w:color w:val="243F60" w:themeColor="accent1" w:themeShade="7F"/>
    </w:rPr>
  </w:style>
  <w:style w:type="character" w:customStyle="1" w:styleId="Ttulo6Car">
    <w:name w:val="Título 6 Car"/>
    <w:basedOn w:val="Fuentedeprrafopredeter"/>
    <w:link w:val="Ttulo6"/>
    <w:uiPriority w:val="9"/>
    <w:semiHidden/>
    <w:rsid w:val="00FC693F"/>
    <w:rPr>
      <w:rFonts w:asciiTheme="majorHAnsi" w:eastAsiaTheme="majorEastAsia" w:hAnsiTheme="majorHAnsi" w:cstheme="majorBidi"/>
      <w:i/>
      <w:iCs/>
      <w:color w:val="243F60" w:themeColor="accent1" w:themeShade="7F"/>
    </w:rPr>
  </w:style>
  <w:style w:type="character" w:customStyle="1" w:styleId="Ttulo7Car">
    <w:name w:val="Título 7 Car"/>
    <w:basedOn w:val="Fuentedeprrafopredeter"/>
    <w:link w:val="Ttulo7"/>
    <w:uiPriority w:val="9"/>
    <w:semiHidden/>
    <w:rsid w:val="00FC693F"/>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semiHidden/>
    <w:rsid w:val="00FC693F"/>
    <w:rPr>
      <w:rFonts w:asciiTheme="majorHAnsi" w:eastAsiaTheme="majorEastAsia" w:hAnsiTheme="majorHAnsi" w:cstheme="majorBidi"/>
      <w:color w:val="4F81BD" w:themeColor="accent1"/>
      <w:sz w:val="20"/>
      <w:szCs w:val="20"/>
    </w:rPr>
  </w:style>
  <w:style w:type="character" w:customStyle="1" w:styleId="Ttulo9Car">
    <w:name w:val="Título 9 Car"/>
    <w:basedOn w:val="Fuentedeprrafopredeter"/>
    <w:link w:val="Ttulo9"/>
    <w:uiPriority w:val="9"/>
    <w:semiHidden/>
    <w:rsid w:val="00FC693F"/>
    <w:rPr>
      <w:rFonts w:asciiTheme="majorHAnsi" w:eastAsiaTheme="majorEastAsia" w:hAnsiTheme="majorHAnsi" w:cstheme="majorBidi"/>
      <w:i/>
      <w:iCs/>
      <w:color w:val="404040" w:themeColor="text1" w:themeTint="BF"/>
      <w:sz w:val="20"/>
      <w:szCs w:val="20"/>
    </w:rPr>
  </w:style>
  <w:style w:type="paragraph" w:styleId="Descripci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Textoennegrita">
    <w:name w:val="Strong"/>
    <w:basedOn w:val="Fuentedeprrafopredeter"/>
    <w:uiPriority w:val="22"/>
    <w:qFormat/>
    <w:rsid w:val="00FC693F"/>
    <w:rPr>
      <w:b/>
      <w:bCs/>
    </w:rPr>
  </w:style>
  <w:style w:type="character" w:styleId="nfasis">
    <w:name w:val="Emphasis"/>
    <w:basedOn w:val="Fuentedeprrafopredeter"/>
    <w:uiPriority w:val="20"/>
    <w:qFormat/>
    <w:rsid w:val="00FC693F"/>
    <w:rPr>
      <w:i/>
      <w:iCs/>
    </w:rPr>
  </w:style>
  <w:style w:type="paragraph" w:styleId="Citadestacada">
    <w:name w:val="Intense Quote"/>
    <w:basedOn w:val="Normal"/>
    <w:next w:val="Normal"/>
    <w:link w:val="CitadestacadaC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FC693F"/>
    <w:rPr>
      <w:b/>
      <w:bCs/>
      <w:i/>
      <w:iCs/>
      <w:color w:val="4F81BD" w:themeColor="accent1"/>
    </w:rPr>
  </w:style>
  <w:style w:type="character" w:styleId="nfasissutil">
    <w:name w:val="Subtle Emphasis"/>
    <w:basedOn w:val="Fuentedeprrafopredeter"/>
    <w:uiPriority w:val="19"/>
    <w:qFormat/>
    <w:rsid w:val="00FC693F"/>
    <w:rPr>
      <w:i/>
      <w:iCs/>
      <w:color w:val="808080" w:themeColor="text1" w:themeTint="7F"/>
    </w:rPr>
  </w:style>
  <w:style w:type="character" w:styleId="nfasisintenso">
    <w:name w:val="Intense Emphasis"/>
    <w:basedOn w:val="Fuentedeprrafopredeter"/>
    <w:uiPriority w:val="21"/>
    <w:qFormat/>
    <w:rsid w:val="00FC693F"/>
    <w:rPr>
      <w:b/>
      <w:bCs/>
      <w:i/>
      <w:iCs/>
      <w:color w:val="4F81BD" w:themeColor="accent1"/>
    </w:rPr>
  </w:style>
  <w:style w:type="character" w:styleId="Referenciasutil">
    <w:name w:val="Subtle Reference"/>
    <w:basedOn w:val="Fuentedeprrafopredeter"/>
    <w:uiPriority w:val="31"/>
    <w:qFormat/>
    <w:rsid w:val="00FC693F"/>
    <w:rPr>
      <w:smallCaps/>
      <w:color w:val="C0504D" w:themeColor="accent2"/>
      <w:u w:val="single"/>
    </w:rPr>
  </w:style>
  <w:style w:type="character" w:styleId="Referenciaintensa">
    <w:name w:val="Intense Reference"/>
    <w:basedOn w:val="Fuentedeprrafopredeter"/>
    <w:uiPriority w:val="32"/>
    <w:qFormat/>
    <w:rsid w:val="00FC693F"/>
    <w:rPr>
      <w:b/>
      <w:bCs/>
      <w:smallCaps/>
      <w:color w:val="C0504D" w:themeColor="accent2"/>
      <w:spacing w:val="5"/>
      <w:u w:val="single"/>
    </w:rPr>
  </w:style>
  <w:style w:type="character" w:styleId="Ttulodellibro">
    <w:name w:val="Book Title"/>
    <w:basedOn w:val="Fuentedeprrafopredeter"/>
    <w:uiPriority w:val="33"/>
    <w:qFormat/>
    <w:rsid w:val="00FC693F"/>
    <w:rPr>
      <w:b/>
      <w:bCs/>
      <w:smallCaps/>
      <w:spacing w:val="5"/>
    </w:rPr>
  </w:style>
  <w:style w:type="paragraph" w:styleId="TtuloTDC">
    <w:name w:val="TOC Heading"/>
    <w:basedOn w:val="Ttulo1"/>
    <w:next w:val="Normal"/>
    <w:uiPriority w:val="39"/>
    <w:semiHidden/>
    <w:unhideWhenUsed/>
    <w:qFormat/>
    <w:rsid w:val="00FC693F"/>
    <w:pPr>
      <w:outlineLvl w:val="9"/>
    </w:pPr>
  </w:style>
  <w:style w:type="table" w:styleId="Tablaconcuadrcula">
    <w:name w:val="Table Grid"/>
    <w:basedOn w:val="Tabla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
    <w:name w:val="Light Shading"/>
    <w:basedOn w:val="Tabla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doclaro-nfasis1">
    <w:name w:val="Light Shading Accent 1"/>
    <w:basedOn w:val="Tabla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2">
    <w:name w:val="Light Shading Accent 2"/>
    <w:basedOn w:val="Tabla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4">
    <w:name w:val="Light Shading Accent 4"/>
    <w:basedOn w:val="Tabla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ombreadoclaro-nfasis5">
    <w:name w:val="Light Shading Accent 5"/>
    <w:basedOn w:val="Tabla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claro-nfasis6">
    <w:name w:val="Light Shading Accent 6"/>
    <w:basedOn w:val="Tabla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aclara">
    <w:name w:val="Light List"/>
    <w:basedOn w:val="Tabla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aclara-nfasis1">
    <w:name w:val="Light List Accent 1"/>
    <w:basedOn w:val="Tabla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aclara-nfasis2">
    <w:name w:val="Light List Accent 2"/>
    <w:basedOn w:val="Tabla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aclara-nfasis3">
    <w:name w:val="Light List Accent 3"/>
    <w:basedOn w:val="Tabla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aclara-nfasis4">
    <w:name w:val="Light List Accent 4"/>
    <w:basedOn w:val="Tabla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aclara-nfasis5">
    <w:name w:val="Light List Accent 5"/>
    <w:basedOn w:val="Tabla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aclara-nfasis6">
    <w:name w:val="Light List Accent 6"/>
    <w:basedOn w:val="Tabla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Cuadrculaclara">
    <w:name w:val="Light Grid"/>
    <w:basedOn w:val="Tabla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Cuadrculaclara-nfasis1">
    <w:name w:val="Light Grid Accent 1"/>
    <w:basedOn w:val="Tabla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uadrculaclara-nfasis2">
    <w:name w:val="Light Grid Accent 2"/>
    <w:basedOn w:val="Tabla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3">
    <w:name w:val="Light Grid Accent 3"/>
    <w:basedOn w:val="Tabla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4">
    <w:name w:val="Light Grid Accent 4"/>
    <w:basedOn w:val="Tabla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Cuadrculaclara-nfasis5">
    <w:name w:val="Light Grid Accent 5"/>
    <w:basedOn w:val="Tabla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uadrculaclara-nfasis6">
    <w:name w:val="Light Grid Accent 6"/>
    <w:basedOn w:val="Tabla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
    <w:name w:val="Medium Shading 1"/>
    <w:basedOn w:val="Tabla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ombreadomedio1-nfasis1">
    <w:name w:val="Medium Shading 1 Accent 1"/>
    <w:basedOn w:val="Tabla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ombreadomedio1-nfasis2">
    <w:name w:val="Medium Shading 1 Accent 2"/>
    <w:basedOn w:val="Tabla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ombreadomedio1-nfasis3">
    <w:name w:val="Medium Shading 1 Accent 3"/>
    <w:basedOn w:val="Tabla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nfasis5">
    <w:name w:val="Medium Shading 1 Accent 5"/>
    <w:basedOn w:val="Tabla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ombreadomedio1-nfasis6">
    <w:name w:val="Medium Shading 1 Accent 6"/>
    <w:basedOn w:val="Tabla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ombreadomedio2">
    <w:name w:val="Medium Shading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1">
    <w:name w:val="Medium Shading 2 Accent 1"/>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2">
    <w:name w:val="Medium Shading 2 Accent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3">
    <w:name w:val="Medium Shading 2 Accent 3"/>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4">
    <w:name w:val="Medium Shading 2 Accent 4"/>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5">
    <w:name w:val="Medium Shading 2 Accent 5"/>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6">
    <w:name w:val="Medium Shading 2 Accent 6"/>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amedia1">
    <w:name w:val="Medium List 1"/>
    <w:basedOn w:val="Tabla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1">
    <w:name w:val="Medium List 1 Accent 1"/>
    <w:basedOn w:val="Tabla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amedia1-nfasis2">
    <w:name w:val="Medium List 1 Accent 2"/>
    <w:basedOn w:val="Tabla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3">
    <w:name w:val="Medium List 1 Accent 3"/>
    <w:basedOn w:val="Tabla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amedia1-nfasis4">
    <w:name w:val="Medium List 1 Accent 4"/>
    <w:basedOn w:val="Tabla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5">
    <w:name w:val="Medium List 1 Accent 5"/>
    <w:basedOn w:val="Tabla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6">
    <w:name w:val="Medium List 1 Accent 6"/>
    <w:basedOn w:val="Tabla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
    <w:name w:val="Medium Lis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1">
    <w:name w:val="Medium List 2 Accent 1"/>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2">
    <w:name w:val="Medium List 2 Accen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3">
    <w:name w:val="Medium List 2 Accent 3"/>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4">
    <w:name w:val="Medium List 2 Accent 4"/>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6">
    <w:name w:val="Medium List 2 Accent 6"/>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Cuadrculamedia1">
    <w:name w:val="Medium Grid 1"/>
    <w:basedOn w:val="Tabla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media1-nfasis1">
    <w:name w:val="Medium Grid 1 Accent 1"/>
    <w:basedOn w:val="Tabla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media1-nfasis2">
    <w:name w:val="Medium Grid 1 Accent 2"/>
    <w:basedOn w:val="Tabla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media1-nfasis3">
    <w:name w:val="Medium Grid 1 Accent 3"/>
    <w:basedOn w:val="Tabla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media1-nfasis4">
    <w:name w:val="Medium Grid 1 Accent 4"/>
    <w:basedOn w:val="Tabla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media1-nfasis5">
    <w:name w:val="Medium Grid 1 Accent 5"/>
    <w:basedOn w:val="Tabla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media1-nfasis6">
    <w:name w:val="Medium Grid 1 Accent 6"/>
    <w:basedOn w:val="Tabla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uadrculamedia2">
    <w:name w:val="Medium Grid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Cuadrculamedia2-nfasis1">
    <w:name w:val="Medium Grid 2 Accent 1"/>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Cuadrculamedia2-nfasis2">
    <w:name w:val="Medium Grid 2 Accent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Cuadrculamedia2-nfasis3">
    <w:name w:val="Medium Grid 2 Accent 3"/>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Cuadrculamedia2-nfasis4">
    <w:name w:val="Medium Grid 2 Accent 4"/>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Cuadrculamedia2-nfasis5">
    <w:name w:val="Medium Grid 2 Accent 5"/>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Cuadrculamedia2-nfasis6">
    <w:name w:val="Medium Grid 2 Accent 6"/>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Cuadrculamedia3">
    <w:name w:val="Medium Grid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Cuadrculamedia3-nfasis1">
    <w:name w:val="Medium Grid 3 Accent 1"/>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Cuadrculamedia3-nfasis2">
    <w:name w:val="Medium Grid 3 Accent 2"/>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Cuadrculamedia3-nfasis3">
    <w:name w:val="Medium Grid 3 Accent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Cuadrculamedia3-nfasis4">
    <w:name w:val="Medium Grid 3 Accent 4"/>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Cuadrculamedia3-nfasis5">
    <w:name w:val="Medium Grid 3 Accent 5"/>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Cuadrculamedia3-nfasis6">
    <w:name w:val="Medium Grid 3 Accent 6"/>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aoscura">
    <w:name w:val="Dark List"/>
    <w:basedOn w:val="Tabla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aoscura-nfasis1">
    <w:name w:val="Dark List Accent 1"/>
    <w:basedOn w:val="Tabla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aoscura-nfasis2">
    <w:name w:val="Dark List Accent 2"/>
    <w:basedOn w:val="Tabla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aoscura-nfasis3">
    <w:name w:val="Dark List Accent 3"/>
    <w:basedOn w:val="Tabla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aoscura-nfasis4">
    <w:name w:val="Dark List Accent 4"/>
    <w:basedOn w:val="Tabla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aoscura-nfasis5">
    <w:name w:val="Dark List Accent 5"/>
    <w:basedOn w:val="Tabla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aoscura-nfasis6">
    <w:name w:val="Dark List Accent 6"/>
    <w:basedOn w:val="Tabla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ombreadovistoso">
    <w:name w:val="Colorful Shading"/>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ombreadovistoso-nfasis1">
    <w:name w:val="Colorful Shading Accent 1"/>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ombreadovistoso-nfasis2">
    <w:name w:val="Colorful Shading Accent 2"/>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ombreadovistoso-nfasis3">
    <w:name w:val="Colorful Shading Accent 3"/>
    <w:basedOn w:val="Tabla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ombreadovistoso-nfasis4">
    <w:name w:val="Colorful Shading Accent 4"/>
    <w:basedOn w:val="Tabla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ombreadovistoso-nfasis5">
    <w:name w:val="Colorful Shading Accent 5"/>
    <w:basedOn w:val="Tabla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ombreadovistoso-nfasis6">
    <w:name w:val="Colorful Shading Accent 6"/>
    <w:basedOn w:val="Tabla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avistosa">
    <w:name w:val="Colorful List"/>
    <w:basedOn w:val="Tabla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avistosa-nfasis1">
    <w:name w:val="Colorful List Accent 1"/>
    <w:basedOn w:val="Tabla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avistosa-nfasis2">
    <w:name w:val="Colorful List Accent 2"/>
    <w:basedOn w:val="Tabla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avistosa-nfasis3">
    <w:name w:val="Colorful List Accent 3"/>
    <w:basedOn w:val="Tabla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avistosa-nfasis4">
    <w:name w:val="Colorful List Accent 4"/>
    <w:basedOn w:val="Tabla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avistosa-nfasis5">
    <w:name w:val="Colorful List Accent 5"/>
    <w:basedOn w:val="Tabla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avistosa-nfasis6">
    <w:name w:val="Colorful List Accent 6"/>
    <w:basedOn w:val="Tabla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uadrculavistosa">
    <w:name w:val="Colorful Grid"/>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vistosa-nfasis1">
    <w:name w:val="Colorful Grid Accent 1"/>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vistosa-nfasis2">
    <w:name w:val="Colorful Grid Accent 2"/>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vistosa-nfasis3">
    <w:name w:val="Colorful Grid Accent 3"/>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vistosa-nfasis4">
    <w:name w:val="Colorful Grid Accent 4"/>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vistosa-nfasis5">
    <w:name w:val="Colorful Grid Accent 5"/>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vistosa-nfasis6">
    <w:name w:val="Colorful Grid Accent 6"/>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F2CC07-D8D5-4480-B1B1-432C85184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636</Words>
  <Characters>3498</Characters>
  <Application>Microsoft Office Word</Application>
  <DocSecurity>0</DocSecurity>
  <Lines>29</Lines>
  <Paragraphs>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4126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 Riveros Zepeda (DOP)</dc:creator>
  <cp:keywords/>
  <dc:description>generated by python-docx</dc:description>
  <cp:lastModifiedBy>Cristian Riveros Zepeda (DOP)</cp:lastModifiedBy>
  <cp:revision>4</cp:revision>
  <dcterms:created xsi:type="dcterms:W3CDTF">2026-04-21T15:12:00Z</dcterms:created>
  <dcterms:modified xsi:type="dcterms:W3CDTF">2026-04-22T13:37:00Z</dcterms:modified>
  <cp:category/>
</cp:coreProperties>
</file>